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500B7" w14:textId="77777777" w:rsidR="00B75094" w:rsidRPr="00B75094" w:rsidRDefault="00B75094" w:rsidP="00B75094">
      <w:pPr>
        <w:pStyle w:val="Heading1"/>
        <w:pBdr>
          <w:bottom w:val="single" w:sz="4" w:space="1" w:color="auto"/>
        </w:pBdr>
        <w:rPr>
          <w:rFonts w:eastAsia="Times New Roman"/>
          <w:lang w:eastAsia="en-GB"/>
        </w:rPr>
      </w:pPr>
      <w:r w:rsidRPr="00B75094">
        <w:rPr>
          <w:rFonts w:eastAsia="Times New Roman"/>
          <w:lang w:eastAsia="en-GB"/>
        </w:rPr>
        <w:t>Autumn Budget 2025 – What It Means for You</w:t>
      </w:r>
    </w:p>
    <w:p w14:paraId="34F92A72" w14:textId="77777777" w:rsidR="00B75094" w:rsidRPr="00B75094" w:rsidRDefault="00B75094" w:rsidP="00B75094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8"/>
          <w:szCs w:val="28"/>
          <w:lang w:eastAsia="en-GB"/>
          <w14:ligatures w14:val="none"/>
        </w:rPr>
      </w:pPr>
      <w:r w:rsidRPr="00B75094">
        <w:rPr>
          <w:rFonts w:ascii="Calibri" w:eastAsia="Times New Roman" w:hAnsi="Calibri" w:cs="Calibri"/>
          <w:b/>
          <w:bCs/>
          <w:kern w:val="0"/>
          <w:sz w:val="28"/>
          <w:szCs w:val="28"/>
          <w:lang w:eastAsia="en-GB"/>
          <w14:ligatures w14:val="none"/>
        </w:rPr>
        <w:t>A one-page guide for UK owner-managers and higher-rate taxpayers</w:t>
      </w:r>
    </w:p>
    <w:p w14:paraId="55DE3992" w14:textId="42BE9C52" w:rsidR="00B75094" w:rsidRPr="00B75094" w:rsidRDefault="00B75094" w:rsidP="00B75094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B75094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The Chancellor has just delivered a </w:t>
      </w:r>
      <w:r w:rsidRPr="00B75094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  <w:t>tax-raising Budget</w:t>
      </w:r>
      <w:r w:rsidRPr="00B75094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, adding roughly </w:t>
      </w:r>
      <w:r w:rsidRPr="00B75094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  <w:t>£26bn a year</w:t>
      </w:r>
      <w:r w:rsidRPr="00B75094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 to the tax take and pushing the UK’s overall tax burden towards </w:t>
      </w:r>
      <w:r w:rsidRPr="00B75094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  <w:t>38% of GDP</w:t>
      </w:r>
      <w:r w:rsidRPr="00B75094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 – the highest on record and above countries like the US and Canada, though still below the eurozone average. </w:t>
      </w:r>
    </w:p>
    <w:p w14:paraId="20AD1FC6" w14:textId="346118BF" w:rsidR="00B75094" w:rsidRPr="00B75094" w:rsidRDefault="00B75094" w:rsidP="00B75094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B75094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The direction of travel is clear:</w:t>
      </w:r>
      <w:r w:rsidRPr="00B75094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 </w:t>
      </w:r>
      <w:r w:rsidRPr="00B75094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Assume a </w:t>
      </w:r>
      <w:r w:rsidRPr="00B75094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  <w:t>high-tax decade</w:t>
      </w:r>
      <w:r w:rsidRPr="00B75094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 and plan on that basis, rather than hoping for tax cuts.</w:t>
      </w:r>
    </w:p>
    <w:p w14:paraId="60E90DB9" w14:textId="77777777" w:rsidR="00B75094" w:rsidRPr="00B75094" w:rsidRDefault="00B75094" w:rsidP="00B75094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kern w:val="0"/>
          <w:sz w:val="32"/>
          <w:szCs w:val="32"/>
          <w:lang w:eastAsia="en-GB"/>
          <w14:ligatures w14:val="none"/>
        </w:rPr>
      </w:pPr>
      <w:r w:rsidRPr="00B75094">
        <w:rPr>
          <w:rFonts w:ascii="Calibri" w:eastAsia="Times New Roman" w:hAnsi="Calibri" w:cs="Calibri"/>
          <w:b/>
          <w:bCs/>
          <w:kern w:val="0"/>
          <w:sz w:val="32"/>
          <w:szCs w:val="32"/>
          <w:lang w:eastAsia="en-GB"/>
          <w14:ligatures w14:val="none"/>
        </w:rPr>
        <w:t>1. The 5 Changes That Matter Most</w:t>
      </w:r>
    </w:p>
    <w:p w14:paraId="67C04CCB" w14:textId="77777777" w:rsidR="00B75094" w:rsidRPr="00B75094" w:rsidRDefault="00B75094" w:rsidP="00B75094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</w:pPr>
      <w:r w:rsidRPr="00B75094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  <w:t>1) Dividend tax rises from April 2026</w:t>
      </w:r>
    </w:p>
    <w:p w14:paraId="574EF8BD" w14:textId="0BFF24CB" w:rsidR="00B75094" w:rsidRPr="00B75094" w:rsidRDefault="00B75094" w:rsidP="00B75094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B75094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From </w:t>
      </w:r>
      <w:r w:rsidRPr="00B75094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  <w:t>6 April 2026</w:t>
      </w:r>
      <w:r w:rsidRPr="00B75094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, tax on dividends goes up by </w:t>
      </w:r>
      <w:r w:rsidRPr="00B75094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  <w:t>2 percentage points</w:t>
      </w:r>
      <w:r w:rsidRPr="00B75094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 for basic and higher-rate taxpayers: </w:t>
      </w:r>
    </w:p>
    <w:p w14:paraId="0BA94135" w14:textId="77777777" w:rsidR="00B75094" w:rsidRPr="00B75094" w:rsidRDefault="00B75094" w:rsidP="00B7509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B75094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Basic rate: </w:t>
      </w:r>
      <w:r w:rsidRPr="00B75094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  <w:t>10.75%</w:t>
      </w:r>
      <w:r w:rsidRPr="00B75094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 (was 8.75%)</w:t>
      </w:r>
    </w:p>
    <w:p w14:paraId="773739DC" w14:textId="77777777" w:rsidR="00B75094" w:rsidRPr="00B75094" w:rsidRDefault="00B75094" w:rsidP="00B7509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B75094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Higher rate: </w:t>
      </w:r>
      <w:r w:rsidRPr="00B75094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  <w:t>35.75%</w:t>
      </w:r>
      <w:r w:rsidRPr="00B75094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 (was 33.75%)</w:t>
      </w:r>
    </w:p>
    <w:p w14:paraId="1CB3A230" w14:textId="77777777" w:rsidR="00B75094" w:rsidRPr="00B75094" w:rsidRDefault="00B75094" w:rsidP="00B7509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B75094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Additional rate: unchanged at </w:t>
      </w:r>
      <w:r w:rsidRPr="00B75094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  <w:t>39.35%</w:t>
      </w:r>
    </w:p>
    <w:p w14:paraId="3261C941" w14:textId="77777777" w:rsidR="00B75094" w:rsidRPr="00B75094" w:rsidRDefault="00B75094" w:rsidP="00B75094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B75094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  <w:t>Implication:</w:t>
      </w:r>
      <w:r w:rsidRPr="00B75094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br/>
        <w:t>The classic “low salary + big dividend” strategy is less attractive at higher income levels. You’ll need to revisit your mix of salary, dividends and pension contributions.</w:t>
      </w:r>
    </w:p>
    <w:p w14:paraId="03114984" w14:textId="77777777" w:rsidR="00B75094" w:rsidRPr="00B75094" w:rsidRDefault="00B75094" w:rsidP="00B75094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</w:pPr>
      <w:r w:rsidRPr="00B75094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  <w:t>2) New higher tax rates on savings &amp; property income (from 2027)</w:t>
      </w:r>
    </w:p>
    <w:p w14:paraId="493E023A" w14:textId="56332536" w:rsidR="00B75094" w:rsidRPr="00B75094" w:rsidRDefault="00B75094" w:rsidP="00B75094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B75094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From </w:t>
      </w:r>
      <w:r w:rsidRPr="00B75094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  <w:t>April 2027</w:t>
      </w:r>
      <w:r w:rsidRPr="00B75094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, savings and rental income get their own higher tax bands, all </w:t>
      </w:r>
      <w:r w:rsidRPr="00B75094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  <w:t>2 percentage points above</w:t>
      </w:r>
      <w:r w:rsidRPr="00B75094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 the standard income tax rates: </w:t>
      </w:r>
    </w:p>
    <w:p w14:paraId="6AE84A87" w14:textId="77777777" w:rsidR="00B75094" w:rsidRPr="00B75094" w:rsidRDefault="00B75094" w:rsidP="00B7509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B75094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  <w:t>Savings &amp; property basic rate:</w:t>
      </w:r>
      <w:r w:rsidRPr="00B75094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 22%</w:t>
      </w:r>
    </w:p>
    <w:p w14:paraId="6C801D9E" w14:textId="77777777" w:rsidR="00B75094" w:rsidRPr="00B75094" w:rsidRDefault="00B75094" w:rsidP="00B7509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B75094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  <w:t>Savings &amp; property higher rate:</w:t>
      </w:r>
      <w:r w:rsidRPr="00B75094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 42%</w:t>
      </w:r>
    </w:p>
    <w:p w14:paraId="09FD2AEA" w14:textId="77777777" w:rsidR="00B75094" w:rsidRPr="00B75094" w:rsidRDefault="00B75094" w:rsidP="00B7509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B75094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  <w:t>Savings &amp; property additional rate:</w:t>
      </w:r>
      <w:r w:rsidRPr="00B75094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 47%</w:t>
      </w:r>
    </w:p>
    <w:p w14:paraId="506417DE" w14:textId="77777777" w:rsidR="00B75094" w:rsidRPr="00B75094" w:rsidRDefault="00B75094" w:rsidP="00B75094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B75094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  <w:t>Implication:</w:t>
      </w:r>
    </w:p>
    <w:p w14:paraId="2AF476B7" w14:textId="77777777" w:rsidR="00B75094" w:rsidRPr="00B75094" w:rsidRDefault="00B75094" w:rsidP="00B7509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B75094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Landlords and those with meaningful taxable interest will feel a real hit.</w:t>
      </w:r>
    </w:p>
    <w:p w14:paraId="7F7B26DD" w14:textId="77777777" w:rsidR="00B75094" w:rsidRPr="00B75094" w:rsidRDefault="00B75094" w:rsidP="00B7509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B75094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Asset location becomes critical: interest-bearing and property income should be sheltered in ISAs/pensions wherever possible.</w:t>
      </w:r>
    </w:p>
    <w:p w14:paraId="2FDCAB8A" w14:textId="77777777" w:rsidR="00B75094" w:rsidRPr="00B75094" w:rsidRDefault="00B75094" w:rsidP="00B75094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</w:pPr>
      <w:r w:rsidRPr="00B75094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  <w:t>3) Salary-sacrifice pension NI relief capped at £2,000 (from 2029/30)</w:t>
      </w:r>
    </w:p>
    <w:p w14:paraId="3FADA819" w14:textId="03275B91" w:rsidR="00B75094" w:rsidRPr="00B75094" w:rsidRDefault="00B75094" w:rsidP="00B75094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B75094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From the </w:t>
      </w:r>
      <w:r w:rsidRPr="00B75094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  <w:t>2029/30 tax year</w:t>
      </w:r>
      <w:r w:rsidRPr="00B75094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, the NI saving on salary-sacrifice pension contributions will be capped at the </w:t>
      </w:r>
      <w:r w:rsidRPr="00B75094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  <w:t>first £2,000 per person per year</w:t>
      </w:r>
      <w:r w:rsidRPr="00B75094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. Contributions above that still get income tax relief, but </w:t>
      </w:r>
      <w:r w:rsidRPr="00B75094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  <w:t>no extra NI advantage</w:t>
      </w:r>
      <w:r w:rsidRPr="00B75094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. </w:t>
      </w:r>
    </w:p>
    <w:p w14:paraId="04168E31" w14:textId="77777777" w:rsidR="00B75094" w:rsidRPr="00B75094" w:rsidRDefault="00B75094" w:rsidP="00B75094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B75094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  <w:t>Implication:</w:t>
      </w:r>
    </w:p>
    <w:p w14:paraId="7059AFBC" w14:textId="77777777" w:rsidR="00B75094" w:rsidRPr="00B75094" w:rsidRDefault="00B75094" w:rsidP="00B7509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B75094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High earners and owner-managers using large salary sacrifice arrangements will see reduced benefit.</w:t>
      </w:r>
    </w:p>
    <w:p w14:paraId="3BB7B981" w14:textId="77777777" w:rsidR="00B75094" w:rsidRPr="00B75094" w:rsidRDefault="00B75094" w:rsidP="00B7509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B75094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lastRenderedPageBreak/>
        <w:t xml:space="preserve">You’ll want to design remuneration so that </w:t>
      </w:r>
      <w:r w:rsidRPr="00B75094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  <w:t>the first £2,000</w:t>
      </w:r>
      <w:r w:rsidRPr="00B75094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 per person goes through sacrifice, and anything above that is reviewed case by case.</w:t>
      </w:r>
    </w:p>
    <w:p w14:paraId="4BFD30FE" w14:textId="77777777" w:rsidR="00B75094" w:rsidRPr="00B75094" w:rsidRDefault="00B75094" w:rsidP="00B75094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</w:pPr>
      <w:r w:rsidRPr="00B75094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  <w:t>4) Cash ISA allowance cut to £12,000 (from April 2027)</w:t>
      </w:r>
    </w:p>
    <w:p w14:paraId="4B4D52C5" w14:textId="1DDFD43C" w:rsidR="00B75094" w:rsidRPr="00B75094" w:rsidRDefault="00B75094" w:rsidP="00B75094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B75094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From </w:t>
      </w:r>
      <w:r w:rsidRPr="00B75094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  <w:t>6 April 2027</w:t>
      </w:r>
      <w:r w:rsidRPr="00B75094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, if you’re </w:t>
      </w:r>
      <w:r w:rsidRPr="00B75094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  <w:t>under 65</w:t>
      </w:r>
      <w:r w:rsidRPr="00B75094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, the </w:t>
      </w:r>
      <w:r w:rsidRPr="00B75094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  <w:t>cash ISA</w:t>
      </w:r>
      <w:r w:rsidRPr="00B75094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 limit falls from </w:t>
      </w:r>
      <w:r w:rsidRPr="00B75094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  <w:t>£20,000 to £12,000</w:t>
      </w:r>
      <w:r w:rsidRPr="00B75094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, but the </w:t>
      </w:r>
      <w:r w:rsidRPr="00B75094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  <w:t>overall ISA allowance stays at £20,000</w:t>
      </w:r>
      <w:r w:rsidRPr="00B75094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. Over-65s keep the £20,000 cash limit. </w:t>
      </w:r>
    </w:p>
    <w:p w14:paraId="706D28E1" w14:textId="77777777" w:rsidR="00B75094" w:rsidRPr="00B75094" w:rsidRDefault="00B75094" w:rsidP="00B75094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B75094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  <w:t>Implication:</w:t>
      </w:r>
    </w:p>
    <w:p w14:paraId="26C62D5C" w14:textId="77777777" w:rsidR="00B75094" w:rsidRPr="00B75094" w:rsidRDefault="00B75094" w:rsidP="00B7509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B75094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Cash ISAs become a </w:t>
      </w:r>
      <w:r w:rsidRPr="00B75094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  <w:t>smaller part of your tax shelter</w:t>
      </w:r>
      <w:r w:rsidRPr="00B75094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 – you’ll need to use more of your allowance for </w:t>
      </w:r>
      <w:r w:rsidRPr="00B75094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  <w:t>Stocks &amp; Shares ISAs</w:t>
      </w:r>
      <w:r w:rsidRPr="00B75094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.</w:t>
      </w:r>
    </w:p>
    <w:p w14:paraId="1BC6F25F" w14:textId="77777777" w:rsidR="00B75094" w:rsidRPr="00B75094" w:rsidRDefault="00B75094" w:rsidP="00B7509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B75094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You still have </w:t>
      </w:r>
      <w:r w:rsidRPr="00B75094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  <w:t>two full tax years (2025/26 and 2026/27)</w:t>
      </w:r>
      <w:r w:rsidRPr="00B75094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 with the current £20k cash limit – worth using if you run large cash buffers tax-free.</w:t>
      </w:r>
    </w:p>
    <w:p w14:paraId="35FC7AEA" w14:textId="77777777" w:rsidR="00B75094" w:rsidRPr="00B75094" w:rsidRDefault="00B75094" w:rsidP="00B75094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</w:pPr>
      <w:r w:rsidRPr="00B75094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  <w:t>5) Pay-per-mile tax on EVs (from April 2028)</w:t>
      </w:r>
    </w:p>
    <w:p w14:paraId="32042625" w14:textId="2EDDD592" w:rsidR="00B75094" w:rsidRPr="00B75094" w:rsidRDefault="00B75094" w:rsidP="00B75094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B75094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From </w:t>
      </w:r>
      <w:r w:rsidRPr="00B75094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  <w:t>April 2028</w:t>
      </w:r>
      <w:r w:rsidRPr="00B75094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, most electric and plug-in hybrid cars will face a </w:t>
      </w:r>
      <w:r w:rsidRPr="00B75094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  <w:t>per-mile road levy</w:t>
      </w:r>
      <w:r w:rsidRPr="00B75094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 on top of standard VED. Current OBR assumptions: </w:t>
      </w:r>
    </w:p>
    <w:p w14:paraId="643829B0" w14:textId="77777777" w:rsidR="00B75094" w:rsidRPr="00B75094" w:rsidRDefault="00B75094" w:rsidP="00B7509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B75094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Battery EVs: </w:t>
      </w:r>
      <w:r w:rsidRPr="00B75094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  <w:t>3p per mile</w:t>
      </w:r>
    </w:p>
    <w:p w14:paraId="59A43361" w14:textId="77777777" w:rsidR="00B75094" w:rsidRPr="00B75094" w:rsidRDefault="00B75094" w:rsidP="00B7509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B75094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Plug-in hybrids: </w:t>
      </w:r>
      <w:r w:rsidRPr="00B75094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  <w:t>1.5p per mile</w:t>
      </w:r>
    </w:p>
    <w:p w14:paraId="0B540667" w14:textId="77777777" w:rsidR="00B75094" w:rsidRPr="00B75094" w:rsidRDefault="00B75094" w:rsidP="00B75094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B75094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  <w:t>Implication:</w:t>
      </w:r>
    </w:p>
    <w:p w14:paraId="3186620E" w14:textId="77777777" w:rsidR="00B75094" w:rsidRDefault="00B75094" w:rsidP="00B7509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B75094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If you or your business run EVs, you’ll need to factor this into </w:t>
      </w:r>
      <w:r w:rsidRPr="00B75094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  <w:t>total cost of ownership</w:t>
      </w:r>
      <w:r w:rsidRPr="00B75094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 and mileage policies from 2028 onwards.</w:t>
      </w:r>
    </w:p>
    <w:p w14:paraId="60599776" w14:textId="77777777" w:rsidR="00B75094" w:rsidRPr="00B75094" w:rsidRDefault="00B75094" w:rsidP="00B75094">
      <w:pPr>
        <w:spacing w:before="100" w:beforeAutospacing="1" w:after="100" w:afterAutospacing="1" w:line="240" w:lineRule="auto"/>
        <w:ind w:left="720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</w:p>
    <w:p w14:paraId="5ADADAA3" w14:textId="77777777" w:rsidR="00B75094" w:rsidRPr="00B75094" w:rsidRDefault="00B75094" w:rsidP="00B75094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kern w:val="0"/>
          <w:sz w:val="32"/>
          <w:szCs w:val="32"/>
          <w:lang w:eastAsia="en-GB"/>
          <w14:ligatures w14:val="none"/>
        </w:rPr>
      </w:pPr>
      <w:r w:rsidRPr="00B75094">
        <w:rPr>
          <w:rFonts w:ascii="Calibri" w:eastAsia="Times New Roman" w:hAnsi="Calibri" w:cs="Calibri"/>
          <w:b/>
          <w:bCs/>
          <w:kern w:val="0"/>
          <w:sz w:val="32"/>
          <w:szCs w:val="32"/>
          <w:lang w:eastAsia="en-GB"/>
          <w14:ligatures w14:val="none"/>
        </w:rPr>
        <w:t>2. Year-End &amp; Medium-Term Planning Checklist</w:t>
      </w:r>
    </w:p>
    <w:p w14:paraId="19027682" w14:textId="77777777" w:rsidR="00B75094" w:rsidRPr="00B75094" w:rsidRDefault="00B75094" w:rsidP="00B75094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B75094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Use this as a quick checklist between now and 5 April – and in your 3–</w:t>
      </w:r>
      <w:proofErr w:type="gramStart"/>
      <w:r w:rsidRPr="00B75094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5 year</w:t>
      </w:r>
      <w:proofErr w:type="gramEnd"/>
      <w:r w:rsidRPr="00B75094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 planning.</w:t>
      </w:r>
    </w:p>
    <w:p w14:paraId="0E892428" w14:textId="77777777" w:rsidR="00B75094" w:rsidRPr="00B75094" w:rsidRDefault="00B75094" w:rsidP="00B75094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</w:pPr>
      <w:r w:rsidRPr="00B75094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  <w:t>Before 5 April 2026</w:t>
      </w:r>
    </w:p>
    <w:p w14:paraId="3E3CDE95" w14:textId="77777777" w:rsidR="00B75094" w:rsidRPr="00B75094" w:rsidRDefault="00B75094" w:rsidP="00B7509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B75094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  <w:t>Review 2026/27 dividend plans</w:t>
      </w:r>
    </w:p>
    <w:p w14:paraId="4033E1FB" w14:textId="0F5703DE" w:rsidR="00B75094" w:rsidRPr="00B75094" w:rsidRDefault="00B75094" w:rsidP="00B75094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B75094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If you’re likely to pay large dividends after April 2026, consider whether it makes sense to </w:t>
      </w:r>
      <w:r w:rsidRPr="00B75094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  <w:t>bring some forward</w:t>
      </w:r>
      <w:r w:rsidRPr="00B75094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 into 2025/26 while rates are lower. (Take care not to trigger higher-rate bands this year.) </w:t>
      </w:r>
    </w:p>
    <w:p w14:paraId="21712A95" w14:textId="77777777" w:rsidR="00B75094" w:rsidRPr="00B75094" w:rsidRDefault="00B75094" w:rsidP="00B7509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B75094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  <w:t>Max out ISAs at current rules</w:t>
      </w:r>
    </w:p>
    <w:p w14:paraId="0D7B6C26" w14:textId="77777777" w:rsidR="00B75094" w:rsidRPr="00B75094" w:rsidRDefault="00B75094" w:rsidP="00B75094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B75094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Use your </w:t>
      </w:r>
      <w:r w:rsidRPr="00B75094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  <w:t>£20,000 2025/26 ISA allowance</w:t>
      </w:r>
      <w:r w:rsidRPr="00B75094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 (cash or stocks).</w:t>
      </w:r>
    </w:p>
    <w:p w14:paraId="52F0B55C" w14:textId="183C11DD" w:rsidR="00B75094" w:rsidRPr="00B75094" w:rsidRDefault="00B75094" w:rsidP="00B75094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proofErr w:type="gramStart"/>
      <w:r w:rsidRPr="00B75094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Plan ahead</w:t>
      </w:r>
      <w:proofErr w:type="gramEnd"/>
      <w:r w:rsidRPr="00B75094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 to also use </w:t>
      </w:r>
      <w:r w:rsidRPr="00B75094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  <w:t>2026/27</w:t>
      </w:r>
      <w:r w:rsidRPr="00B75094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 while the full £20k cash option is still available. </w:t>
      </w:r>
    </w:p>
    <w:p w14:paraId="776A762A" w14:textId="77777777" w:rsidR="00B75094" w:rsidRPr="00B75094" w:rsidRDefault="00B75094" w:rsidP="00B7509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B75094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  <w:t>Rebalance where income sits</w:t>
      </w:r>
    </w:p>
    <w:p w14:paraId="4A44311A" w14:textId="77777777" w:rsidR="00B75094" w:rsidRPr="00B75094" w:rsidRDefault="00B75094" w:rsidP="00B75094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B75094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Move interest-bearing assets into ISAs/pensions where possible.</w:t>
      </w:r>
    </w:p>
    <w:p w14:paraId="351C986C" w14:textId="5385FB93" w:rsidR="00B75094" w:rsidRPr="00B75094" w:rsidRDefault="00B75094" w:rsidP="00B75094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B75094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Keep more volatile growth assets (global equity) in wrappers first, then outside if needed. </w:t>
      </w:r>
    </w:p>
    <w:p w14:paraId="2510493E" w14:textId="77777777" w:rsidR="00B75094" w:rsidRPr="00B75094" w:rsidRDefault="00B75094" w:rsidP="00B7509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B75094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  <w:t>Landlords: stress-test your numbers</w:t>
      </w:r>
    </w:p>
    <w:p w14:paraId="7CD69979" w14:textId="56112602" w:rsidR="00B75094" w:rsidRPr="00B75094" w:rsidRDefault="00B75094" w:rsidP="00B75094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B75094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Re-run your BTL yields with </w:t>
      </w:r>
      <w:r w:rsidRPr="00B75094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  <w:t>22%/42%/47% property rates</w:t>
      </w:r>
      <w:r w:rsidRPr="00B75094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 from 2027. Anything marginal now could become uneconomic. </w:t>
      </w:r>
    </w:p>
    <w:p w14:paraId="4FCAC1E0" w14:textId="77777777" w:rsidR="00B75094" w:rsidRPr="00B75094" w:rsidRDefault="00B75094" w:rsidP="00B7509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B75094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  <w:t>Directors: sense-check your extraction mix</w:t>
      </w:r>
    </w:p>
    <w:p w14:paraId="307C7F39" w14:textId="77777777" w:rsidR="00B75094" w:rsidRPr="00B75094" w:rsidRDefault="00B75094" w:rsidP="00B75094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B75094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Model your </w:t>
      </w:r>
      <w:r w:rsidRPr="00B75094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  <w:t>2026/27 income</w:t>
      </w:r>
      <w:r w:rsidRPr="00B75094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 under at least two scenarios:</w:t>
      </w:r>
    </w:p>
    <w:p w14:paraId="3329872C" w14:textId="77777777" w:rsidR="00B75094" w:rsidRPr="00B75094" w:rsidRDefault="00B75094" w:rsidP="00B75094">
      <w:pPr>
        <w:numPr>
          <w:ilvl w:val="2"/>
          <w:numId w:val="8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B75094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  <w:t>Scenario A:</w:t>
      </w:r>
      <w:r w:rsidRPr="00B75094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 low salary + high dividends</w:t>
      </w:r>
    </w:p>
    <w:p w14:paraId="5B33782D" w14:textId="77777777" w:rsidR="00B75094" w:rsidRPr="00B75094" w:rsidRDefault="00B75094" w:rsidP="00B75094">
      <w:pPr>
        <w:numPr>
          <w:ilvl w:val="2"/>
          <w:numId w:val="8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B75094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  <w:t>Scenario B:</w:t>
      </w:r>
      <w:r w:rsidRPr="00B75094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 moderate salary + dividends + company pension contribution</w:t>
      </w:r>
    </w:p>
    <w:p w14:paraId="60964457" w14:textId="77777777" w:rsidR="00B75094" w:rsidRDefault="00B75094" w:rsidP="00B75094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B75094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lastRenderedPageBreak/>
        <w:t>Compare net cash in your pocket vs risk (e.g. future changes to dividend tax or pension rules).</w:t>
      </w:r>
    </w:p>
    <w:p w14:paraId="488A27EC" w14:textId="77777777" w:rsidR="00B75094" w:rsidRPr="00B75094" w:rsidRDefault="00B75094" w:rsidP="00B75094">
      <w:pPr>
        <w:spacing w:before="100" w:beforeAutospacing="1" w:after="100" w:afterAutospacing="1" w:line="240" w:lineRule="auto"/>
        <w:ind w:left="1440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</w:p>
    <w:p w14:paraId="51211726" w14:textId="77777777" w:rsidR="00B75094" w:rsidRPr="00B75094" w:rsidRDefault="00B75094" w:rsidP="00B75094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kern w:val="0"/>
          <w:sz w:val="32"/>
          <w:szCs w:val="32"/>
          <w:lang w:eastAsia="en-GB"/>
          <w14:ligatures w14:val="none"/>
        </w:rPr>
      </w:pPr>
      <w:r w:rsidRPr="00B75094">
        <w:rPr>
          <w:rFonts w:ascii="Calibri" w:eastAsia="Times New Roman" w:hAnsi="Calibri" w:cs="Calibri"/>
          <w:b/>
          <w:bCs/>
          <w:kern w:val="0"/>
          <w:sz w:val="32"/>
          <w:szCs w:val="32"/>
          <w:lang w:eastAsia="en-GB"/>
          <w14:ligatures w14:val="none"/>
        </w:rPr>
        <w:t>3. A Simple Extraction “Modeller” for Owner-Managers</w:t>
      </w:r>
    </w:p>
    <w:p w14:paraId="7D81F33A" w14:textId="77777777" w:rsidR="00B75094" w:rsidRPr="00B75094" w:rsidRDefault="00B75094" w:rsidP="00B75094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B75094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This isn’t a full spreadsheet, but a </w:t>
      </w:r>
      <w:r w:rsidRPr="00B75094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  <w:t>decision sequence</w:t>
      </w:r>
      <w:r w:rsidRPr="00B75094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 you can apply now and refine with detailed numbers.</w:t>
      </w:r>
    </w:p>
    <w:p w14:paraId="7D5D03E2" w14:textId="77777777" w:rsidR="00B75094" w:rsidRPr="00B75094" w:rsidRDefault="00B75094" w:rsidP="00B75094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</w:pPr>
      <w:r w:rsidRPr="00B75094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  <w:t>Step 1 – Set your target personal income</w:t>
      </w:r>
    </w:p>
    <w:p w14:paraId="746AF334" w14:textId="77777777" w:rsidR="00B75094" w:rsidRPr="00B75094" w:rsidRDefault="00B75094" w:rsidP="00B7509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B75094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Decide what you </w:t>
      </w:r>
      <w:proofErr w:type="gramStart"/>
      <w:r w:rsidRPr="00B75094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  <w:t>actually need</w:t>
      </w:r>
      <w:proofErr w:type="gramEnd"/>
      <w:r w:rsidRPr="00B75094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  <w:t xml:space="preserve"> to live on</w:t>
      </w:r>
      <w:r w:rsidRPr="00B75094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 (after tax). Don’t let the company’s profit drive your drawings.</w:t>
      </w:r>
    </w:p>
    <w:p w14:paraId="460106B4" w14:textId="77777777" w:rsidR="00B75094" w:rsidRPr="00B75094" w:rsidRDefault="00B75094" w:rsidP="00B75094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</w:pPr>
      <w:r w:rsidRPr="00B75094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  <w:t>Step 2 – Choose a baseline salary</w:t>
      </w:r>
    </w:p>
    <w:p w14:paraId="306B0820" w14:textId="77777777" w:rsidR="00B75094" w:rsidRPr="00B75094" w:rsidRDefault="00B75094" w:rsidP="00B7509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B75094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Aim for a salary at or around the </w:t>
      </w:r>
      <w:r w:rsidRPr="00B75094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  <w:t>personal allowance / NIC primary threshold</w:t>
      </w:r>
      <w:r w:rsidRPr="00B75094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 (subject to annual changes).</w:t>
      </w:r>
    </w:p>
    <w:p w14:paraId="15237A36" w14:textId="77777777" w:rsidR="00B75094" w:rsidRPr="00B75094" w:rsidRDefault="00B75094" w:rsidP="00B7509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B75094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This protects state </w:t>
      </w:r>
      <w:proofErr w:type="gramStart"/>
      <w:r w:rsidRPr="00B75094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pension</w:t>
      </w:r>
      <w:proofErr w:type="gramEnd"/>
      <w:r w:rsidRPr="00B75094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 and benefits record and keeps PAYE admin simple.</w:t>
      </w:r>
    </w:p>
    <w:p w14:paraId="0D142124" w14:textId="77777777" w:rsidR="00B75094" w:rsidRPr="00B75094" w:rsidRDefault="00B75094" w:rsidP="00B75094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</w:pPr>
      <w:r w:rsidRPr="00B75094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  <w:t>Step 3 – Use employer pension contributions intelligently</w:t>
      </w:r>
    </w:p>
    <w:p w14:paraId="58482C68" w14:textId="77777777" w:rsidR="00B75094" w:rsidRPr="00B75094" w:rsidRDefault="00B75094" w:rsidP="00B7509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B75094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Between now and </w:t>
      </w:r>
      <w:r w:rsidRPr="00B75094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  <w:t>2029</w:t>
      </w:r>
      <w:r w:rsidRPr="00B75094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, employer contributions (whether labelled “salary sacrifice” or not) still provide </w:t>
      </w:r>
      <w:r w:rsidRPr="00B75094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  <w:t>full NIC arbitrage</w:t>
      </w:r>
      <w:r w:rsidRPr="00B75094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.</w:t>
      </w:r>
    </w:p>
    <w:p w14:paraId="63DC72D0" w14:textId="69B43E15" w:rsidR="00B75094" w:rsidRPr="00B75094" w:rsidRDefault="00B75094" w:rsidP="00B7509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B75094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From </w:t>
      </w:r>
      <w:r w:rsidRPr="00B75094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  <w:t>2029/30</w:t>
      </w:r>
      <w:r w:rsidRPr="00B75094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, design packages so that</w:t>
      </w:r>
      <w:r w:rsidRPr="00B75094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.</w:t>
      </w:r>
    </w:p>
    <w:p w14:paraId="1B2D7805" w14:textId="77777777" w:rsidR="00B75094" w:rsidRPr="00B75094" w:rsidRDefault="00B75094" w:rsidP="00B75094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B75094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The first </w:t>
      </w:r>
      <w:r w:rsidRPr="00B75094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  <w:t>£2,000 per year per person</w:t>
      </w:r>
      <w:r w:rsidRPr="00B75094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 is structured as salary sacrifice (full NI saving).</w:t>
      </w:r>
    </w:p>
    <w:p w14:paraId="3A622538" w14:textId="77777777" w:rsidR="00B75094" w:rsidRPr="00B75094" w:rsidRDefault="00B75094" w:rsidP="00B75094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B75094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Extra pension funding is reviewed on its merits (you still get corporation tax and income tax relief, just not the extra NI saving).</w:t>
      </w:r>
    </w:p>
    <w:p w14:paraId="623AA12B" w14:textId="77777777" w:rsidR="00B75094" w:rsidRPr="00B75094" w:rsidRDefault="00B75094" w:rsidP="00B75094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</w:pPr>
      <w:r w:rsidRPr="00B75094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  <w:t>Step 4 – Layer dividends on top</w:t>
      </w:r>
    </w:p>
    <w:p w14:paraId="7E45E7ED" w14:textId="7DE51E97" w:rsidR="00B75094" w:rsidRPr="00B75094" w:rsidRDefault="00B75094" w:rsidP="00B75094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B75094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From 2026/27 onwards, use dividends with the </w:t>
      </w:r>
      <w:r w:rsidRPr="00B75094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  <w:t>new rates in mind</w:t>
      </w:r>
      <w:r w:rsidRPr="00B75094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: </w:t>
      </w:r>
    </w:p>
    <w:p w14:paraId="5ADF7239" w14:textId="77777777" w:rsidR="00B75094" w:rsidRPr="00B75094" w:rsidRDefault="00B75094" w:rsidP="00B7509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B75094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Take dividends to </w:t>
      </w:r>
      <w:r w:rsidRPr="00B75094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  <w:t>use up the basic rate band</w:t>
      </w:r>
      <w:r w:rsidRPr="00B75094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 at 10.75%.</w:t>
      </w:r>
    </w:p>
    <w:p w14:paraId="492DC9C0" w14:textId="77777777" w:rsidR="00B75094" w:rsidRPr="00B75094" w:rsidRDefault="00B75094" w:rsidP="00B7509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B75094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Above that, compare:</w:t>
      </w:r>
    </w:p>
    <w:p w14:paraId="7CA1AACE" w14:textId="77777777" w:rsidR="00B75094" w:rsidRPr="00B75094" w:rsidRDefault="00B75094" w:rsidP="00B75094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B75094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  <w:t>Higher-rate dividends at 35.75%</w:t>
      </w:r>
      <w:r w:rsidRPr="00B75094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, vs</w:t>
      </w:r>
    </w:p>
    <w:p w14:paraId="61229BCB" w14:textId="77777777" w:rsidR="00B75094" w:rsidRPr="00B75094" w:rsidRDefault="00B75094" w:rsidP="00B75094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B75094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  <w:t>Extra salary at 42%/47% plus NICs</w:t>
      </w:r>
      <w:r w:rsidRPr="00B75094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, vs</w:t>
      </w:r>
    </w:p>
    <w:p w14:paraId="07BF9770" w14:textId="77777777" w:rsidR="00B75094" w:rsidRPr="00B75094" w:rsidRDefault="00B75094" w:rsidP="00B75094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B75094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  <w:t>Additional employer pension</w:t>
      </w:r>
      <w:r w:rsidRPr="00B75094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 (with or without NI benefit).</w:t>
      </w:r>
    </w:p>
    <w:p w14:paraId="0450AC7F" w14:textId="795FCCDA" w:rsidR="00B75094" w:rsidRPr="00B75094" w:rsidRDefault="00B75094" w:rsidP="00B75094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B75094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For many owner-managers, the sweet spot will be:</w:t>
      </w:r>
      <w:r w:rsidRPr="00B75094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 </w:t>
      </w:r>
      <w:r w:rsidRPr="00B75094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  <w:t>(1) modest salary, (2) pensions up to a sensible level, then (3) dividends to the higher-rate threshold</w:t>
      </w:r>
      <w:r w:rsidRPr="00B75094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 – not “dividends at all costs” as in past years.</w:t>
      </w:r>
    </w:p>
    <w:p w14:paraId="25F63A3D" w14:textId="77777777" w:rsidR="00B75094" w:rsidRPr="00B75094" w:rsidRDefault="00B75094" w:rsidP="00B75094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</w:pPr>
      <w:r w:rsidRPr="00B75094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  <w:t>Step 5 – Revisit annually</w:t>
      </w:r>
    </w:p>
    <w:p w14:paraId="7224EF2E" w14:textId="77777777" w:rsidR="00B75094" w:rsidRPr="00B75094" w:rsidRDefault="00B75094" w:rsidP="00B7509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B75094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Re-run the numbers each year as thresholds, allowances and company profits move. The shape of the strategy is stable; the exact figures will change.</w:t>
      </w:r>
    </w:p>
    <w:p w14:paraId="0AA18469" w14:textId="77777777" w:rsidR="00B75094" w:rsidRDefault="00B75094"/>
    <w:sectPr w:rsidR="00B75094" w:rsidSect="00B75094">
      <w:footerReference w:type="default" r:id="rId7"/>
      <w:pgSz w:w="11906" w:h="16838"/>
      <w:pgMar w:top="851" w:right="1134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6E2339" w14:textId="77777777" w:rsidR="00A45554" w:rsidRDefault="00A45554" w:rsidP="00B75094">
      <w:pPr>
        <w:spacing w:after="0" w:line="240" w:lineRule="auto"/>
      </w:pPr>
      <w:r>
        <w:separator/>
      </w:r>
    </w:p>
  </w:endnote>
  <w:endnote w:type="continuationSeparator" w:id="0">
    <w:p w14:paraId="6A40A4D7" w14:textId="77777777" w:rsidR="00A45554" w:rsidRDefault="00A45554" w:rsidP="00B750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F941E" w14:textId="738321D2" w:rsidR="00B75094" w:rsidRPr="00B75094" w:rsidRDefault="00B75094" w:rsidP="00B75094">
    <w:pPr>
      <w:pStyle w:val="Footer"/>
      <w:pBdr>
        <w:top w:val="single" w:sz="4" w:space="1" w:color="auto"/>
      </w:pBdr>
      <w:rPr>
        <w:sz w:val="22"/>
        <w:szCs w:val="22"/>
      </w:rPr>
    </w:pPr>
    <w:r w:rsidRPr="00B75094">
      <w:rPr>
        <w:sz w:val="22"/>
        <w:szCs w:val="22"/>
      </w:rPr>
      <w:t>©Guilford Accounting 2025</w:t>
    </w:r>
  </w:p>
  <w:p w14:paraId="26D9506E" w14:textId="77777777" w:rsidR="00B75094" w:rsidRDefault="00B750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17C19B" w14:textId="77777777" w:rsidR="00A45554" w:rsidRDefault="00A45554" w:rsidP="00B75094">
      <w:pPr>
        <w:spacing w:after="0" w:line="240" w:lineRule="auto"/>
      </w:pPr>
      <w:r>
        <w:separator/>
      </w:r>
    </w:p>
  </w:footnote>
  <w:footnote w:type="continuationSeparator" w:id="0">
    <w:p w14:paraId="4E82F966" w14:textId="77777777" w:rsidR="00A45554" w:rsidRDefault="00A45554" w:rsidP="00B750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52C14"/>
    <w:multiLevelType w:val="multilevel"/>
    <w:tmpl w:val="6464C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9F6E90"/>
    <w:multiLevelType w:val="multilevel"/>
    <w:tmpl w:val="B4A82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3E0252"/>
    <w:multiLevelType w:val="multilevel"/>
    <w:tmpl w:val="7A1AB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6C74C21"/>
    <w:multiLevelType w:val="multilevel"/>
    <w:tmpl w:val="ACC6A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4645DE"/>
    <w:multiLevelType w:val="multilevel"/>
    <w:tmpl w:val="2EACC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F8F0742"/>
    <w:multiLevelType w:val="multilevel"/>
    <w:tmpl w:val="5260A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019319C"/>
    <w:multiLevelType w:val="multilevel"/>
    <w:tmpl w:val="B9DA5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34F7DC3"/>
    <w:multiLevelType w:val="multilevel"/>
    <w:tmpl w:val="0CE64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D365D67"/>
    <w:multiLevelType w:val="multilevel"/>
    <w:tmpl w:val="1DE40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2C44B10"/>
    <w:multiLevelType w:val="multilevel"/>
    <w:tmpl w:val="CAFA5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67E4B86"/>
    <w:multiLevelType w:val="multilevel"/>
    <w:tmpl w:val="3544D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80D1373"/>
    <w:multiLevelType w:val="multilevel"/>
    <w:tmpl w:val="D18A3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3A376F9"/>
    <w:multiLevelType w:val="multilevel"/>
    <w:tmpl w:val="F4E0D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04012908">
    <w:abstractNumId w:val="8"/>
  </w:num>
  <w:num w:numId="2" w16cid:durableId="1175730228">
    <w:abstractNumId w:val="6"/>
  </w:num>
  <w:num w:numId="3" w16cid:durableId="455102495">
    <w:abstractNumId w:val="10"/>
  </w:num>
  <w:num w:numId="4" w16cid:durableId="1386446306">
    <w:abstractNumId w:val="12"/>
  </w:num>
  <w:num w:numId="5" w16cid:durableId="400480">
    <w:abstractNumId w:val="1"/>
  </w:num>
  <w:num w:numId="6" w16cid:durableId="1951160875">
    <w:abstractNumId w:val="4"/>
  </w:num>
  <w:num w:numId="7" w16cid:durableId="1534536987">
    <w:abstractNumId w:val="11"/>
  </w:num>
  <w:num w:numId="8" w16cid:durableId="861356279">
    <w:abstractNumId w:val="2"/>
  </w:num>
  <w:num w:numId="9" w16cid:durableId="2116514078">
    <w:abstractNumId w:val="0"/>
  </w:num>
  <w:num w:numId="10" w16cid:durableId="604384446">
    <w:abstractNumId w:val="9"/>
  </w:num>
  <w:num w:numId="11" w16cid:durableId="373627740">
    <w:abstractNumId w:val="5"/>
  </w:num>
  <w:num w:numId="12" w16cid:durableId="1772319532">
    <w:abstractNumId w:val="7"/>
  </w:num>
  <w:num w:numId="13" w16cid:durableId="12217930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094"/>
    <w:rsid w:val="00065364"/>
    <w:rsid w:val="0098116C"/>
    <w:rsid w:val="00A45554"/>
    <w:rsid w:val="00B75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AACB34"/>
  <w15:chartTrackingRefBased/>
  <w15:docId w15:val="{080DAFC8-D0EE-4E33-89A6-9ED1C7DBC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750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50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50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50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50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50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50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50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50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50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50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50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50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50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50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50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50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50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50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50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50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750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50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750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50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750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50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50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509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750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5094"/>
  </w:style>
  <w:style w:type="paragraph" w:styleId="Footer">
    <w:name w:val="footer"/>
    <w:basedOn w:val="Normal"/>
    <w:link w:val="FooterChar"/>
    <w:uiPriority w:val="99"/>
    <w:unhideWhenUsed/>
    <w:rsid w:val="00B750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50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923</Words>
  <Characters>4850</Characters>
  <Application>Microsoft Office Word</Application>
  <DocSecurity>0</DocSecurity>
  <Lines>112</Lines>
  <Paragraphs>86</Paragraphs>
  <ScaleCrop>false</ScaleCrop>
  <Company/>
  <LinksUpToDate>false</LinksUpToDate>
  <CharactersWithSpaces>5687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Noel Guilford</dc:creator>
  <cp:keywords/>
  <dc:description/>
  <cp:lastModifiedBy>Noel Guilford</cp:lastModifiedBy>
  <cp:revision>2</cp:revision>
  <dcterms:created xsi:type="dcterms:W3CDTF">2025-11-26T23:38:00Z</dcterms:created>
  <dcterms:modified xsi:type="dcterms:W3CDTF">2025-11-26T23:49:00Z</dcterms:modified>
</cp:coreProperties>
</file>